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E561" w14:textId="77777777" w:rsidR="00D42AB6" w:rsidRPr="00D42AB6" w:rsidRDefault="00D42AB6" w:rsidP="00D42AB6">
      <w:pPr>
        <w:shd w:val="clear" w:color="auto" w:fill="FFFFFF"/>
        <w:spacing w:before="198" w:after="120" w:line="240" w:lineRule="auto"/>
        <w:outlineLvl w:val="0"/>
        <w:rPr>
          <w:rFonts w:ascii="Times New Roman" w:eastAsia="Times New Roman" w:hAnsi="Times New Roman" w:cs="Times New Roman"/>
          <w:b/>
          <w:bCs/>
          <w:color w:val="222222"/>
          <w:kern w:val="36"/>
          <w:sz w:val="40"/>
          <w:szCs w:val="40"/>
          <w:lang w:eastAsia="ro-MD"/>
        </w:rPr>
      </w:pPr>
      <w:r w:rsidRPr="00D42AB6">
        <w:rPr>
          <w:rFonts w:ascii="Times New Roman" w:eastAsia="Times New Roman" w:hAnsi="Times New Roman" w:cs="Times New Roman"/>
          <w:b/>
          <w:bCs/>
          <w:color w:val="222222"/>
          <w:kern w:val="36"/>
          <w:sz w:val="40"/>
          <w:szCs w:val="40"/>
          <w:lang w:eastAsia="ro-MD"/>
        </w:rPr>
        <w:t>RAPORTUL nr. 1 | Misiunea de Observare a Alegerilor Parlamentare Anticipate din 11 iulie 2021</w:t>
      </w:r>
    </w:p>
    <w:p w14:paraId="722497D2" w14:textId="77777777" w:rsidR="00D42AB6" w:rsidRPr="00D42AB6" w:rsidRDefault="00D42AB6" w:rsidP="00D42AB6">
      <w:pPr>
        <w:shd w:val="clear" w:color="auto" w:fill="FFFFFF"/>
        <w:spacing w:after="240" w:line="360" w:lineRule="atLeast"/>
        <w:jc w:val="center"/>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t>SUMAR EXECUTIV</w:t>
      </w:r>
    </w:p>
    <w:p w14:paraId="00E14E7A"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t>Contextul politic. </w:t>
      </w:r>
      <w:r w:rsidRPr="00D42AB6">
        <w:rPr>
          <w:rFonts w:ascii="Times New Roman" w:eastAsia="Times New Roman" w:hAnsi="Times New Roman" w:cs="Times New Roman"/>
          <w:color w:val="000000"/>
          <w:sz w:val="27"/>
          <w:szCs w:val="27"/>
          <w:lang w:eastAsia="ro-MD"/>
        </w:rPr>
        <w:t>Alegerile parlamentare sunt foarte importante pentru calitatea și vectorul procesului decizional din Republica Moldova, îndeosebi datorită caracterului parlamentar al regimului politic.</w:t>
      </w:r>
    </w:p>
    <w:p w14:paraId="5E8C431C"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Alegerile anticipate urmează a fi organizate în contextul imposibilității formării Guvernului de către Parlament, chiar dacă majoritatea fracțiunilor nu au manifestat un interes sporit pentru alegerile parlamentare anticipate iminente. Dizolvarea Parlamentului s-a produs pe fundalul reducerii gradului de încredere a populației în autoritățile publice centrale, în special în Parlament și Guvern. Rolul Președinției în declanșarea alegerilor parlamentare anticipate a fost unul decisiv.</w:t>
      </w:r>
    </w:p>
    <w:p w14:paraId="45F76A21"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Hotărârea Parlamentului nr. 49 din 31.03.2021 cu privire la declanșarea stării de urgență în contextul pandemic nu a trecut testul constituționalității. Există dubii rezonabile că starea de urgență a fost utilizată de majoritatea parlamentară cu scopul tergiversării declanșării alegerilor anticipate. În consecință, atacurile nejustificate asupra Curții Constituționale, din partea majorității parlamentare care nu a reușit învestirea Guvernului, au creat tensiuni în societate, au alertat societatea civilă și partenerii de dezvoltare.</w:t>
      </w:r>
    </w:p>
    <w:p w14:paraId="3FAF5AF1"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t>Cadrul legal.</w:t>
      </w:r>
      <w:r w:rsidRPr="00D42AB6">
        <w:rPr>
          <w:rFonts w:ascii="Times New Roman" w:eastAsia="Times New Roman" w:hAnsi="Times New Roman" w:cs="Times New Roman"/>
          <w:color w:val="000000"/>
          <w:sz w:val="27"/>
          <w:szCs w:val="27"/>
          <w:lang w:eastAsia="ro-MD"/>
        </w:rPr>
        <w:t> Alegerile parlamentare anticipate din 11 iulie 2021 se vor desfășura în baza scrutinului proporțional, la care s-a revenit prin Legea nr. 113 din 15.08.2019. În acest fel, principiul privind stabilitatea dreptului electoral, care prevede că modificările de esență trebuie realizate cu mai mult de un an înainte de alegeri, a fost respectat.</w:t>
      </w:r>
    </w:p>
    <w:p w14:paraId="4540990E"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Totodată, dorim să atragem atenția asupra proiectului de lege nr. 263 din 19.06.2020, pe care Parlamentul nu l-a aprobat în lectura a doua nici înainte de scrutinul prezidențial din noiembrie 2020, nici după acel scrutin, și care conține o serie de prevederi utile și necesare pentru asigurarea bunei desfășurări a alegerilor</w:t>
      </w:r>
      <w:bookmarkStart w:id="0" w:name="_ftnref1"/>
      <w:r w:rsidRPr="00D42AB6">
        <w:rPr>
          <w:rFonts w:ascii="Times New Roman" w:eastAsia="Times New Roman" w:hAnsi="Times New Roman" w:cs="Times New Roman"/>
          <w:color w:val="000000"/>
          <w:sz w:val="27"/>
          <w:szCs w:val="27"/>
          <w:lang w:eastAsia="ro-MD"/>
        </w:rPr>
        <w:fldChar w:fldCharType="begin"/>
      </w:r>
      <w:r w:rsidRPr="00D42AB6">
        <w:rPr>
          <w:rFonts w:ascii="Times New Roman" w:eastAsia="Times New Roman" w:hAnsi="Times New Roman" w:cs="Times New Roman"/>
          <w:color w:val="000000"/>
          <w:sz w:val="27"/>
          <w:szCs w:val="27"/>
          <w:lang w:eastAsia="ro-MD"/>
        </w:rPr>
        <w:instrText xml:space="preserve"> HYPERLINK "https://promolex.md/20223-raportul-nr-1-misiunea-de-observare-a-alegerilor-parlamentare-anticipate-din-11-iulie-2021/?print=print&amp;lang=ro" \l "_ftn1" </w:instrText>
      </w:r>
      <w:r w:rsidRPr="00D42AB6">
        <w:rPr>
          <w:rFonts w:ascii="Times New Roman" w:eastAsia="Times New Roman" w:hAnsi="Times New Roman" w:cs="Times New Roman"/>
          <w:color w:val="000000"/>
          <w:sz w:val="27"/>
          <w:szCs w:val="27"/>
          <w:lang w:eastAsia="ro-MD"/>
        </w:rPr>
        <w:fldChar w:fldCharType="separate"/>
      </w:r>
      <w:r w:rsidRPr="00D42AB6">
        <w:rPr>
          <w:rFonts w:ascii="Times New Roman" w:eastAsia="Times New Roman" w:hAnsi="Times New Roman" w:cs="Times New Roman"/>
          <w:color w:val="87CEFA"/>
          <w:sz w:val="27"/>
          <w:szCs w:val="27"/>
          <w:u w:val="single"/>
          <w:lang w:eastAsia="ro-MD"/>
        </w:rPr>
        <w:t>[1]</w:t>
      </w:r>
      <w:r w:rsidRPr="00D42AB6">
        <w:rPr>
          <w:rFonts w:ascii="Times New Roman" w:eastAsia="Times New Roman" w:hAnsi="Times New Roman" w:cs="Times New Roman"/>
          <w:color w:val="000000"/>
          <w:sz w:val="27"/>
          <w:szCs w:val="27"/>
          <w:lang w:eastAsia="ro-MD"/>
        </w:rPr>
        <w:fldChar w:fldCharType="end"/>
      </w:r>
      <w:bookmarkEnd w:id="0"/>
      <w:r w:rsidRPr="00D42AB6">
        <w:rPr>
          <w:rFonts w:ascii="Times New Roman" w:eastAsia="Times New Roman" w:hAnsi="Times New Roman" w:cs="Times New Roman"/>
          <w:color w:val="000000"/>
          <w:sz w:val="27"/>
          <w:szCs w:val="27"/>
          <w:lang w:eastAsia="ro-MD"/>
        </w:rPr>
        <w:t>.</w:t>
      </w:r>
    </w:p>
    <w:p w14:paraId="5A3C8F31"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De asemenea, în 2020 în procedură legislativă au fost înaintate cel puțin două proiecte de legi de modificare a Codului electoral, care au fost inițiate pentru a răspunde obiectivului de realizare a dreptului la vot și măsurilor de siguranță a alegerilor pe timp de pandemie</w:t>
      </w:r>
      <w:bookmarkStart w:id="1" w:name="_ftnref2"/>
      <w:r w:rsidRPr="00D42AB6">
        <w:rPr>
          <w:rFonts w:ascii="Times New Roman" w:eastAsia="Times New Roman" w:hAnsi="Times New Roman" w:cs="Times New Roman"/>
          <w:color w:val="000000"/>
          <w:sz w:val="27"/>
          <w:szCs w:val="27"/>
          <w:lang w:eastAsia="ro-MD"/>
        </w:rPr>
        <w:fldChar w:fldCharType="begin"/>
      </w:r>
      <w:r w:rsidRPr="00D42AB6">
        <w:rPr>
          <w:rFonts w:ascii="Times New Roman" w:eastAsia="Times New Roman" w:hAnsi="Times New Roman" w:cs="Times New Roman"/>
          <w:color w:val="000000"/>
          <w:sz w:val="27"/>
          <w:szCs w:val="27"/>
          <w:lang w:eastAsia="ro-MD"/>
        </w:rPr>
        <w:instrText xml:space="preserve"> HYPERLINK "https://promolex.md/20223-raportul-nr-1-misiunea-de-observare-a-alegerilor-parlamentare-anticipate-din-11-iulie-2021/?print=print&amp;lang=ro" \l "_ftn2" </w:instrText>
      </w:r>
      <w:r w:rsidRPr="00D42AB6">
        <w:rPr>
          <w:rFonts w:ascii="Times New Roman" w:eastAsia="Times New Roman" w:hAnsi="Times New Roman" w:cs="Times New Roman"/>
          <w:color w:val="000000"/>
          <w:sz w:val="27"/>
          <w:szCs w:val="27"/>
          <w:lang w:eastAsia="ro-MD"/>
        </w:rPr>
        <w:fldChar w:fldCharType="separate"/>
      </w:r>
      <w:r w:rsidRPr="00D42AB6">
        <w:rPr>
          <w:rFonts w:ascii="Times New Roman" w:eastAsia="Times New Roman" w:hAnsi="Times New Roman" w:cs="Times New Roman"/>
          <w:color w:val="87CEFA"/>
          <w:sz w:val="27"/>
          <w:szCs w:val="27"/>
          <w:u w:val="single"/>
          <w:lang w:eastAsia="ro-MD"/>
        </w:rPr>
        <w:t>[2]</w:t>
      </w:r>
      <w:r w:rsidRPr="00D42AB6">
        <w:rPr>
          <w:rFonts w:ascii="Times New Roman" w:eastAsia="Times New Roman" w:hAnsi="Times New Roman" w:cs="Times New Roman"/>
          <w:color w:val="000000"/>
          <w:sz w:val="27"/>
          <w:szCs w:val="27"/>
          <w:lang w:eastAsia="ro-MD"/>
        </w:rPr>
        <w:fldChar w:fldCharType="end"/>
      </w:r>
      <w:bookmarkEnd w:id="1"/>
      <w:r w:rsidRPr="00D42AB6">
        <w:rPr>
          <w:rFonts w:ascii="Times New Roman" w:eastAsia="Times New Roman" w:hAnsi="Times New Roman" w:cs="Times New Roman"/>
          <w:color w:val="000000"/>
          <w:sz w:val="27"/>
          <w:szCs w:val="27"/>
          <w:lang w:eastAsia="ro-MD"/>
        </w:rPr>
        <w:t>. Niciunul dintre aceste proiecte nu a fost pus pe ordinea de zi a Parlamentului.</w:t>
      </w:r>
    </w:p>
    <w:p w14:paraId="604E3439"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lastRenderedPageBreak/>
        <w:t xml:space="preserve">Din totalul de 22 de recomandări de îmbunătățire a cadrului legal/normativ propuse de MO </w:t>
      </w:r>
      <w:proofErr w:type="spellStart"/>
      <w:r w:rsidRPr="00D42AB6">
        <w:rPr>
          <w:rFonts w:ascii="Times New Roman" w:eastAsia="Times New Roman" w:hAnsi="Times New Roman" w:cs="Times New Roman"/>
          <w:color w:val="000000"/>
          <w:sz w:val="27"/>
          <w:szCs w:val="27"/>
          <w:lang w:eastAsia="ro-MD"/>
        </w:rPr>
        <w:t>Promo</w:t>
      </w:r>
      <w:proofErr w:type="spellEnd"/>
      <w:r w:rsidRPr="00D42AB6">
        <w:rPr>
          <w:rFonts w:ascii="Times New Roman" w:eastAsia="Times New Roman" w:hAnsi="Times New Roman" w:cs="Times New Roman"/>
          <w:color w:val="000000"/>
          <w:sz w:val="27"/>
          <w:szCs w:val="27"/>
          <w:lang w:eastAsia="ro-MD"/>
        </w:rPr>
        <w:t>-LEX în urma observării alegerilor parlamentare din 24 februarie 2019, semnalăm că doar șapte au fost total sau parțial implementate, altele 15 fiind ignorate. Printre cele neimplementate putem menționa: lipsa unei definiții explicite a resurselor administrative; importanța reglementării transportării organizate a alegătorilor în calitate de încălcare a legislației; necesitatea revizuirii termenului de depunere a rapoartelor finale privind finanțarea campaniei electorale etc.</w:t>
      </w:r>
    </w:p>
    <w:p w14:paraId="33365E5A"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 xml:space="preserve">MO </w:t>
      </w:r>
      <w:proofErr w:type="spellStart"/>
      <w:r w:rsidRPr="00D42AB6">
        <w:rPr>
          <w:rFonts w:ascii="Times New Roman" w:eastAsia="Times New Roman" w:hAnsi="Times New Roman" w:cs="Times New Roman"/>
          <w:color w:val="000000"/>
          <w:sz w:val="27"/>
          <w:szCs w:val="27"/>
          <w:lang w:eastAsia="ro-MD"/>
        </w:rPr>
        <w:t>Promo</w:t>
      </w:r>
      <w:proofErr w:type="spellEnd"/>
      <w:r w:rsidRPr="00D42AB6">
        <w:rPr>
          <w:rFonts w:ascii="Times New Roman" w:eastAsia="Times New Roman" w:hAnsi="Times New Roman" w:cs="Times New Roman"/>
          <w:color w:val="000000"/>
          <w:sz w:val="27"/>
          <w:szCs w:val="27"/>
          <w:lang w:eastAsia="ro-MD"/>
        </w:rPr>
        <w:t>-LEX menționează că data alegerilor, stabilită pentru 11 iulie 2021, după 74 de zile de la dizolvarea Parlamentului, corespunde prevederilor Codului electoral. Decretul privind dizolvarea Parlamentului a intrat în vigoare la 28 aprilie 2021, fiind publicat în Monitorul Oficial la 30 aprilie 2021.</w:t>
      </w:r>
    </w:p>
    <w:p w14:paraId="47CE6EE6"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 xml:space="preserve">În ce privește identificarea mijloacelor financiare pentru organizarea alegerilor anticipate, în opinia </w:t>
      </w:r>
      <w:proofErr w:type="spellStart"/>
      <w:r w:rsidRPr="00D42AB6">
        <w:rPr>
          <w:rFonts w:ascii="Times New Roman" w:eastAsia="Times New Roman" w:hAnsi="Times New Roman" w:cs="Times New Roman"/>
          <w:color w:val="000000"/>
          <w:sz w:val="27"/>
          <w:szCs w:val="27"/>
          <w:lang w:eastAsia="ro-MD"/>
        </w:rPr>
        <w:t>Promo</w:t>
      </w:r>
      <w:proofErr w:type="spellEnd"/>
      <w:r w:rsidRPr="00D42AB6">
        <w:rPr>
          <w:rFonts w:ascii="Times New Roman" w:eastAsia="Times New Roman" w:hAnsi="Times New Roman" w:cs="Times New Roman"/>
          <w:color w:val="000000"/>
          <w:sz w:val="27"/>
          <w:szCs w:val="27"/>
          <w:lang w:eastAsia="ro-MD"/>
        </w:rPr>
        <w:t>-LEX, legislația în vigoare prevede mecanisme pentru alocarea resurselor financiare autorităților responsabile de organizarea alegerilor.</w:t>
      </w:r>
    </w:p>
    <w:p w14:paraId="55813CFA"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t>Organele electorale.</w:t>
      </w:r>
      <w:r w:rsidRPr="00D42AB6">
        <w:rPr>
          <w:rFonts w:ascii="Times New Roman" w:eastAsia="Times New Roman" w:hAnsi="Times New Roman" w:cs="Times New Roman"/>
          <w:color w:val="000000"/>
          <w:sz w:val="27"/>
          <w:szCs w:val="27"/>
          <w:lang w:eastAsia="ro-MD"/>
        </w:rPr>
        <w:t> Comisia Electorală Centrală (CEC) va coordona activitatea organelor electorale inferioare – Consilii Electorale de Circumscripție (CECE) și Birouri Electorale (BESV) – în vederea pregătirii și desfășurării alegerilor. Candidații vor fi înregistrați de CEC. Chiar dacă mandatul componenței actuale a CEC expiră pe 17 iunie 2021, prevederile legale permit prelungirea mandatului în cursul perioadei electorale. În perioada monitorizată, CEC s-a convocat în format mixt în cadrul a trei ședințe, dintre care una ordinară și două extraordinare.</w:t>
      </w:r>
    </w:p>
    <w:p w14:paraId="5A0D3157"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 xml:space="preserve">Constituirea secțiilor de votare pentru alegătorii din regiunea transnistreană și pentru cei de peste hotare trebuie să se desfășoare în condiții de transparență și conform prevederilor legale. Cu privire la repartizarea geografică a secțiilor de votare constituite peste hotare, potrivit estimărilor </w:t>
      </w:r>
      <w:proofErr w:type="spellStart"/>
      <w:r w:rsidRPr="00D42AB6">
        <w:rPr>
          <w:rFonts w:ascii="Times New Roman" w:eastAsia="Times New Roman" w:hAnsi="Times New Roman" w:cs="Times New Roman"/>
          <w:color w:val="000000"/>
          <w:sz w:val="27"/>
          <w:szCs w:val="27"/>
          <w:lang w:eastAsia="ro-MD"/>
        </w:rPr>
        <w:t>Promo</w:t>
      </w:r>
      <w:proofErr w:type="spellEnd"/>
      <w:r w:rsidRPr="00D42AB6">
        <w:rPr>
          <w:rFonts w:ascii="Times New Roman" w:eastAsia="Times New Roman" w:hAnsi="Times New Roman" w:cs="Times New Roman"/>
          <w:color w:val="000000"/>
          <w:sz w:val="27"/>
          <w:szCs w:val="27"/>
          <w:lang w:eastAsia="ro-MD"/>
        </w:rPr>
        <w:t xml:space="preserve">-LEX, comparativ cu scrutinul electoral precedent, în baza datelor existente la data de 11 mai 2021, constatăm că ar urma să fie majorat numărul de SV, în special, în Germania (+6), </w:t>
      </w:r>
      <w:proofErr w:type="spellStart"/>
      <w:r w:rsidRPr="00D42AB6">
        <w:rPr>
          <w:rFonts w:ascii="Times New Roman" w:eastAsia="Times New Roman" w:hAnsi="Times New Roman" w:cs="Times New Roman"/>
          <w:color w:val="000000"/>
          <w:sz w:val="27"/>
          <w:szCs w:val="27"/>
          <w:lang w:eastAsia="ro-MD"/>
        </w:rPr>
        <w:t>Federaţia</w:t>
      </w:r>
      <w:proofErr w:type="spellEnd"/>
      <w:r w:rsidRPr="00D42AB6">
        <w:rPr>
          <w:rFonts w:ascii="Times New Roman" w:eastAsia="Times New Roman" w:hAnsi="Times New Roman" w:cs="Times New Roman"/>
          <w:color w:val="000000"/>
          <w:sz w:val="27"/>
          <w:szCs w:val="27"/>
          <w:lang w:eastAsia="ro-MD"/>
        </w:rPr>
        <w:t xml:space="preserve"> Rusă (+4) și Marea Britanie (+4). De cealaltă parte, urmează a fi micșorat numărul de SV constituite în SUA (-5), România (-4) și Italia (-3). În context, amintim că înregistrarea prealabilă este unicul criteriu care poate influența repartizarea secțiilor de votare în perioada electorală.</w:t>
      </w:r>
    </w:p>
    <w:p w14:paraId="472AAD5F"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Considerăm că în această etapă de organizare a alegerilor CEC trebuie să promoveze mai activ procedura de înregistrare prealabilă și să propună soluții pentru vaccinarea în regim prioritar a funcționarilor electorali și a persoanelor autorizate să asiste la operațiile electorale.</w:t>
      </w:r>
    </w:p>
    <w:p w14:paraId="4B49FC63"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lastRenderedPageBreak/>
        <w:t>Registrul de stat al alegătorilor</w:t>
      </w:r>
      <w:r w:rsidRPr="00D42AB6">
        <w:rPr>
          <w:rFonts w:ascii="Times New Roman" w:eastAsia="Times New Roman" w:hAnsi="Times New Roman" w:cs="Times New Roman"/>
          <w:color w:val="000000"/>
          <w:sz w:val="27"/>
          <w:szCs w:val="27"/>
          <w:lang w:eastAsia="ro-MD"/>
        </w:rPr>
        <w:t xml:space="preserve">. În contextul alegerilor parlamentare anticipate, </w:t>
      </w:r>
      <w:proofErr w:type="spellStart"/>
      <w:r w:rsidRPr="00D42AB6">
        <w:rPr>
          <w:rFonts w:ascii="Times New Roman" w:eastAsia="Times New Roman" w:hAnsi="Times New Roman" w:cs="Times New Roman"/>
          <w:color w:val="000000"/>
          <w:sz w:val="27"/>
          <w:szCs w:val="27"/>
          <w:lang w:eastAsia="ro-MD"/>
        </w:rPr>
        <w:t>Promo</w:t>
      </w:r>
      <w:proofErr w:type="spellEnd"/>
      <w:r w:rsidRPr="00D42AB6">
        <w:rPr>
          <w:rFonts w:ascii="Times New Roman" w:eastAsia="Times New Roman" w:hAnsi="Times New Roman" w:cs="Times New Roman"/>
          <w:color w:val="000000"/>
          <w:sz w:val="27"/>
          <w:szCs w:val="27"/>
          <w:lang w:eastAsia="ro-MD"/>
        </w:rPr>
        <w:t>-LEX constată în premieră, în baza datelor publicate de CEC, o reducere constantă, fie și nesemnificativă, a numărului de alegători din RSA. La data de 04.05.2021, comparativ cu 02.09.2020, numărul de alegători a scăzut cu circa 7 529 de persoane.</w:t>
      </w:r>
    </w:p>
    <w:p w14:paraId="70644ADD"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Totuși, subliniem că numărul de alegători fără domiciliu/reședință și al celor din regiunea transnistreană (15,1% din numărul total) este în creștere, fapt ce creează premise pentru creșterea ponderii cetățenilor care ar putea vota pe liste suplimentare.</w:t>
      </w:r>
    </w:p>
    <w:p w14:paraId="5298E583"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t>Administrația publică.</w:t>
      </w:r>
      <w:r w:rsidRPr="00D42AB6">
        <w:rPr>
          <w:rFonts w:ascii="Times New Roman" w:eastAsia="Times New Roman" w:hAnsi="Times New Roman" w:cs="Times New Roman"/>
          <w:color w:val="000000"/>
          <w:sz w:val="27"/>
          <w:szCs w:val="27"/>
          <w:lang w:eastAsia="ro-MD"/>
        </w:rPr>
        <w:t xml:space="preserve"> În contextul alegerilor parlamentare anticipate autoritățile administrației publice locale (APL) urmează a fi implicate activ în realizarea atribuțiilor legale ce țin de organizarea alegerilor. Din experiența observării alegerilor prezidențiale din noiembrie 2020, MO </w:t>
      </w:r>
      <w:proofErr w:type="spellStart"/>
      <w:r w:rsidRPr="00D42AB6">
        <w:rPr>
          <w:rFonts w:ascii="Times New Roman" w:eastAsia="Times New Roman" w:hAnsi="Times New Roman" w:cs="Times New Roman"/>
          <w:color w:val="000000"/>
          <w:sz w:val="27"/>
          <w:szCs w:val="27"/>
          <w:lang w:eastAsia="ro-MD"/>
        </w:rPr>
        <w:t>Promo</w:t>
      </w:r>
      <w:proofErr w:type="spellEnd"/>
      <w:r w:rsidRPr="00D42AB6">
        <w:rPr>
          <w:rFonts w:ascii="Times New Roman" w:eastAsia="Times New Roman" w:hAnsi="Times New Roman" w:cs="Times New Roman"/>
          <w:color w:val="000000"/>
          <w:sz w:val="27"/>
          <w:szCs w:val="27"/>
          <w:lang w:eastAsia="ro-MD"/>
        </w:rPr>
        <w:t>-LEX atrage atenția asupra necesității desemnării unui număr suficient de membri în organele electorale inferioare și a evitării disensiunilor privind identificarea locațiilor pentru organele electorale, în special în privința SV pentru regiunea transnistreană.</w:t>
      </w:r>
    </w:p>
    <w:p w14:paraId="4EA9BBB7"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t>Potențiali concurenți electorali</w:t>
      </w:r>
      <w:r w:rsidRPr="00D42AB6">
        <w:rPr>
          <w:rFonts w:ascii="Times New Roman" w:eastAsia="Times New Roman" w:hAnsi="Times New Roman" w:cs="Times New Roman"/>
          <w:color w:val="000000"/>
          <w:sz w:val="27"/>
          <w:szCs w:val="27"/>
          <w:lang w:eastAsia="ro-MD"/>
        </w:rPr>
        <w:t>. Dreptul de a desemna candidați pentru alegeri parlamentare îl au: partidele și alte organizații social-politice înregistrate până la stabilirea datei alegerilor; blocurile electorale și candidații independenți. Candidații independenți se află în condiții inegale, fiind obligați să colecteze semnături. În plus, legislatorul nu a modificat legislația pentru a permite implementarea unor mecanisme alternative colectării semnăturilor în context pandemic: colectarea online sau depozitul electoral. În perioada de observare a primului raport deja a fost înregistrat un bloc electoral – BE „RENATO USATÎI” – care intenționează să fie înregistrat în calitate de concurent.</w:t>
      </w:r>
    </w:p>
    <w:p w14:paraId="60932F40"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t>Observarea finanțării activităților electorale.</w:t>
      </w:r>
      <w:r w:rsidRPr="00D42AB6">
        <w:rPr>
          <w:rFonts w:ascii="Times New Roman" w:eastAsia="Times New Roman" w:hAnsi="Times New Roman" w:cs="Times New Roman"/>
          <w:color w:val="000000"/>
          <w:sz w:val="27"/>
          <w:szCs w:val="27"/>
          <w:lang w:eastAsia="ro-MD"/>
        </w:rPr>
        <w:t> Observarea finanțării campaniei electorale va acoperi perioada campaniei electorale a concurenților, dar și activitățile din perioada de desemnare și înregistrare, inclusiv activitatea grupurilor de inițiativă în susținerea candidaților independenți.</w:t>
      </w:r>
    </w:p>
    <w:p w14:paraId="098886F1"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 xml:space="preserve">Printre aspectele problematice din perspectiva finanțării campaniei electorale identificate de MO </w:t>
      </w:r>
      <w:proofErr w:type="spellStart"/>
      <w:r w:rsidRPr="00D42AB6">
        <w:rPr>
          <w:rFonts w:ascii="Times New Roman" w:eastAsia="Times New Roman" w:hAnsi="Times New Roman" w:cs="Times New Roman"/>
          <w:color w:val="000000"/>
          <w:sz w:val="27"/>
          <w:szCs w:val="27"/>
          <w:lang w:eastAsia="ro-MD"/>
        </w:rPr>
        <w:t>Promo</w:t>
      </w:r>
      <w:proofErr w:type="spellEnd"/>
      <w:r w:rsidRPr="00D42AB6">
        <w:rPr>
          <w:rFonts w:ascii="Times New Roman" w:eastAsia="Times New Roman" w:hAnsi="Times New Roman" w:cs="Times New Roman"/>
          <w:color w:val="000000"/>
          <w:sz w:val="27"/>
          <w:szCs w:val="27"/>
          <w:lang w:eastAsia="ro-MD"/>
        </w:rPr>
        <w:t>-LEX a alegerilor prezidențiale din noiembrie 2020 și care se pot repeta în scrutinul curent menționăm: transparență redusă a cheltuielilor efectuate, lipsa raportării cheltuielilor pentru delegarea agitatorilor, limitarea activității partidului/candidatului, inclusiv de a participa la alegeri, prin refuzul de deschidere a contului „Fond electoral” și imperfecțiunea formatului de raportare a donațiilor materiale.</w:t>
      </w:r>
    </w:p>
    <w:p w14:paraId="55AD731D"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b/>
          <w:bCs/>
          <w:color w:val="000000"/>
          <w:sz w:val="27"/>
          <w:szCs w:val="27"/>
          <w:lang w:eastAsia="ro-MD"/>
        </w:rPr>
        <w:lastRenderedPageBreak/>
        <w:t>Discursul de ură.</w:t>
      </w:r>
      <w:r w:rsidRPr="00D42AB6">
        <w:rPr>
          <w:rFonts w:ascii="Times New Roman" w:eastAsia="Times New Roman" w:hAnsi="Times New Roman" w:cs="Times New Roman"/>
          <w:color w:val="000000"/>
          <w:sz w:val="27"/>
          <w:szCs w:val="27"/>
          <w:lang w:eastAsia="ro-MD"/>
        </w:rPr>
        <w:t xml:space="preserve"> Din anul 2017, Asociația </w:t>
      </w:r>
      <w:proofErr w:type="spellStart"/>
      <w:r w:rsidRPr="00D42AB6">
        <w:rPr>
          <w:rFonts w:ascii="Times New Roman" w:eastAsia="Times New Roman" w:hAnsi="Times New Roman" w:cs="Times New Roman"/>
          <w:color w:val="000000"/>
          <w:sz w:val="27"/>
          <w:szCs w:val="27"/>
          <w:lang w:eastAsia="ro-MD"/>
        </w:rPr>
        <w:t>Promo</w:t>
      </w:r>
      <w:proofErr w:type="spellEnd"/>
      <w:r w:rsidRPr="00D42AB6">
        <w:rPr>
          <w:rFonts w:ascii="Times New Roman" w:eastAsia="Times New Roman" w:hAnsi="Times New Roman" w:cs="Times New Roman"/>
          <w:color w:val="000000"/>
          <w:sz w:val="27"/>
          <w:szCs w:val="27"/>
          <w:lang w:eastAsia="ro-MD"/>
        </w:rPr>
        <w:t>-LEX monitorizează discursul de ură și instigare la discriminare în spațiul public și în mass-media din Republica Moldova, inclusiv cel utilizat de către concurenții electorali în cadrul alegerilor.</w:t>
      </w:r>
    </w:p>
    <w:p w14:paraId="7A25F5C6"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Datele monitorizărilor realizate în perioada 2018–2020 au demonstrat că dinamica de utilizare a discursului de ură crește în perioadele preelectorale și electorale și descrește odată cu încheierea acestora. În prezent, nu există un cadru legal pertinent și nici mecanisme pentru a preveni, a combate și a sancționa acest fenomen, iar autoritățile nu au un răspuns la discursul de ură în context electoral.</w:t>
      </w:r>
    </w:p>
    <w:p w14:paraId="1D52AFC2"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În perioada decembrie 2020 – aprilie 2021, Parlamentul Republicii Moldova nu a întreprins acțiuni pentru îndeplinirea Adreselor Curții Constituționale din 2016 și 2020 cu privire la revizuirea legislației și crearea mecanismelor de control și sancționare pentru implicarea cultelor religioase în campaniile electorale, precum și pentru prevenirea și combaterea discursului de ură între concurenții electorali, inclusiv în mediul online.</w:t>
      </w:r>
    </w:p>
    <w:p w14:paraId="082D5EA7"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t>_____________________________________________________________________________________________</w:t>
      </w:r>
    </w:p>
    <w:bookmarkStart w:id="2" w:name="_ftn1"/>
    <w:p w14:paraId="4F94D07C"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fldChar w:fldCharType="begin"/>
      </w:r>
      <w:r w:rsidRPr="00D42AB6">
        <w:rPr>
          <w:rFonts w:ascii="Times New Roman" w:eastAsia="Times New Roman" w:hAnsi="Times New Roman" w:cs="Times New Roman"/>
          <w:color w:val="000000"/>
          <w:sz w:val="27"/>
          <w:szCs w:val="27"/>
          <w:lang w:eastAsia="ro-MD"/>
        </w:rPr>
        <w:instrText xml:space="preserve"> HYPERLINK "https://promolex.md/20223-raportul-nr-1-misiunea-de-observare-a-alegerilor-parlamentare-anticipate-din-11-iulie-2021/?print=print&amp;lang=ro" \l "_ftnref1" </w:instrText>
      </w:r>
      <w:r w:rsidRPr="00D42AB6">
        <w:rPr>
          <w:rFonts w:ascii="Times New Roman" w:eastAsia="Times New Roman" w:hAnsi="Times New Roman" w:cs="Times New Roman"/>
          <w:color w:val="000000"/>
          <w:sz w:val="27"/>
          <w:szCs w:val="27"/>
          <w:lang w:eastAsia="ro-MD"/>
        </w:rPr>
        <w:fldChar w:fldCharType="separate"/>
      </w:r>
      <w:r w:rsidRPr="00D42AB6">
        <w:rPr>
          <w:rFonts w:ascii="Times New Roman" w:eastAsia="Times New Roman" w:hAnsi="Times New Roman" w:cs="Times New Roman"/>
          <w:color w:val="87CEFA"/>
          <w:sz w:val="27"/>
          <w:szCs w:val="27"/>
          <w:u w:val="single"/>
          <w:lang w:eastAsia="ro-MD"/>
        </w:rPr>
        <w:t>[1]</w:t>
      </w:r>
      <w:r w:rsidRPr="00D42AB6">
        <w:rPr>
          <w:rFonts w:ascii="Times New Roman" w:eastAsia="Times New Roman" w:hAnsi="Times New Roman" w:cs="Times New Roman"/>
          <w:color w:val="000000"/>
          <w:sz w:val="27"/>
          <w:szCs w:val="27"/>
          <w:lang w:eastAsia="ro-MD"/>
        </w:rPr>
        <w:fldChar w:fldCharType="end"/>
      </w:r>
      <w:bookmarkEnd w:id="2"/>
      <w:r w:rsidRPr="00D42AB6">
        <w:rPr>
          <w:rFonts w:ascii="Times New Roman" w:eastAsia="Times New Roman" w:hAnsi="Times New Roman" w:cs="Times New Roman"/>
          <w:color w:val="000000"/>
          <w:sz w:val="27"/>
          <w:szCs w:val="27"/>
          <w:lang w:eastAsia="ro-MD"/>
        </w:rPr>
        <w:t> Interdicția utilizării discursului bazat pe ură și/sau instigator la ură; introducerea sancțiunilor graduale pentru încălcarea legislației electorale; sancțiuni pentru implicarea cultelor religioase și a altor organizații necomerciale în agitația electorală; reglementarea transportării organizate a alegătorilor spre secția de votare etc.</w:t>
      </w:r>
    </w:p>
    <w:bookmarkStart w:id="3" w:name="_ftn2"/>
    <w:p w14:paraId="1B0EF825" w14:textId="77777777" w:rsidR="00D42AB6" w:rsidRPr="00D42AB6" w:rsidRDefault="00D42AB6" w:rsidP="00D42AB6">
      <w:pPr>
        <w:shd w:val="clear" w:color="auto" w:fill="FFFFFF"/>
        <w:spacing w:after="240" w:line="360" w:lineRule="atLeast"/>
        <w:jc w:val="both"/>
        <w:rPr>
          <w:rFonts w:ascii="Times New Roman" w:eastAsia="Times New Roman" w:hAnsi="Times New Roman" w:cs="Times New Roman"/>
          <w:color w:val="000000"/>
          <w:sz w:val="27"/>
          <w:szCs w:val="27"/>
          <w:lang w:eastAsia="ro-MD"/>
        </w:rPr>
      </w:pPr>
      <w:r w:rsidRPr="00D42AB6">
        <w:rPr>
          <w:rFonts w:ascii="Times New Roman" w:eastAsia="Times New Roman" w:hAnsi="Times New Roman" w:cs="Times New Roman"/>
          <w:color w:val="000000"/>
          <w:sz w:val="27"/>
          <w:szCs w:val="27"/>
          <w:lang w:eastAsia="ro-MD"/>
        </w:rPr>
        <w:fldChar w:fldCharType="begin"/>
      </w:r>
      <w:r w:rsidRPr="00D42AB6">
        <w:rPr>
          <w:rFonts w:ascii="Times New Roman" w:eastAsia="Times New Roman" w:hAnsi="Times New Roman" w:cs="Times New Roman"/>
          <w:color w:val="000000"/>
          <w:sz w:val="27"/>
          <w:szCs w:val="27"/>
          <w:lang w:eastAsia="ro-MD"/>
        </w:rPr>
        <w:instrText xml:space="preserve"> HYPERLINK "https://promolex.md/20223-raportul-nr-1-misiunea-de-observare-a-alegerilor-parlamentare-anticipate-din-11-iulie-2021/?print=print&amp;lang=ro" \l "_ftnref2" </w:instrText>
      </w:r>
      <w:r w:rsidRPr="00D42AB6">
        <w:rPr>
          <w:rFonts w:ascii="Times New Roman" w:eastAsia="Times New Roman" w:hAnsi="Times New Roman" w:cs="Times New Roman"/>
          <w:color w:val="000000"/>
          <w:sz w:val="27"/>
          <w:szCs w:val="27"/>
          <w:lang w:eastAsia="ro-MD"/>
        </w:rPr>
        <w:fldChar w:fldCharType="separate"/>
      </w:r>
      <w:r w:rsidRPr="00D42AB6">
        <w:rPr>
          <w:rFonts w:ascii="Times New Roman" w:eastAsia="Times New Roman" w:hAnsi="Times New Roman" w:cs="Times New Roman"/>
          <w:color w:val="87CEFA"/>
          <w:sz w:val="27"/>
          <w:szCs w:val="27"/>
          <w:u w:val="single"/>
          <w:lang w:eastAsia="ro-MD"/>
        </w:rPr>
        <w:t>[2]</w:t>
      </w:r>
      <w:r w:rsidRPr="00D42AB6">
        <w:rPr>
          <w:rFonts w:ascii="Times New Roman" w:eastAsia="Times New Roman" w:hAnsi="Times New Roman" w:cs="Times New Roman"/>
          <w:color w:val="000000"/>
          <w:sz w:val="27"/>
          <w:szCs w:val="27"/>
          <w:lang w:eastAsia="ro-MD"/>
        </w:rPr>
        <w:fldChar w:fldCharType="end"/>
      </w:r>
      <w:bookmarkEnd w:id="3"/>
      <w:r w:rsidRPr="00D42AB6">
        <w:rPr>
          <w:rFonts w:ascii="Times New Roman" w:eastAsia="Times New Roman" w:hAnsi="Times New Roman" w:cs="Times New Roman"/>
          <w:color w:val="000000"/>
          <w:sz w:val="27"/>
          <w:szCs w:val="27"/>
          <w:lang w:eastAsia="ro-MD"/>
        </w:rPr>
        <w:t> Prin proiectul </w:t>
      </w:r>
      <w:hyperlink r:id="rId4" w:history="1">
        <w:r w:rsidRPr="00D42AB6">
          <w:rPr>
            <w:rFonts w:ascii="Times New Roman" w:eastAsia="Times New Roman" w:hAnsi="Times New Roman" w:cs="Times New Roman"/>
            <w:color w:val="87CEFA"/>
            <w:sz w:val="27"/>
            <w:szCs w:val="27"/>
            <w:u w:val="single"/>
            <w:lang w:eastAsia="ro-MD"/>
          </w:rPr>
          <w:t>nr. 210</w:t>
        </w:r>
      </w:hyperlink>
      <w:r w:rsidRPr="00D42AB6">
        <w:rPr>
          <w:rFonts w:ascii="Times New Roman" w:eastAsia="Times New Roman" w:hAnsi="Times New Roman" w:cs="Times New Roman"/>
          <w:color w:val="000000"/>
          <w:sz w:val="27"/>
          <w:szCs w:val="27"/>
          <w:lang w:eastAsia="ro-MD"/>
        </w:rPr>
        <w:t> din 28.05.2020 și proiectul nr. </w:t>
      </w:r>
      <w:hyperlink r:id="rId5" w:history="1">
        <w:r w:rsidRPr="00D42AB6">
          <w:rPr>
            <w:rFonts w:ascii="Times New Roman" w:eastAsia="Times New Roman" w:hAnsi="Times New Roman" w:cs="Times New Roman"/>
            <w:color w:val="87CEFA"/>
            <w:sz w:val="27"/>
            <w:szCs w:val="27"/>
            <w:u w:val="single"/>
            <w:lang w:eastAsia="ro-MD"/>
          </w:rPr>
          <w:t>414</w:t>
        </w:r>
      </w:hyperlink>
      <w:r w:rsidRPr="00D42AB6">
        <w:rPr>
          <w:rFonts w:ascii="Times New Roman" w:eastAsia="Times New Roman" w:hAnsi="Times New Roman" w:cs="Times New Roman"/>
          <w:color w:val="000000"/>
          <w:sz w:val="27"/>
          <w:szCs w:val="27"/>
          <w:lang w:eastAsia="ro-MD"/>
        </w:rPr>
        <w:t> din 06.10.2020 se propunea instituirea a două zile consecutive pentru exercitarea dreptului de vot și adaptarea corespunzătoare a normelor privind organizarea alegerilor în două zile.</w:t>
      </w:r>
    </w:p>
    <w:p w14:paraId="5639ABE1" w14:textId="77777777" w:rsidR="00CF3C5C" w:rsidRDefault="00CF3C5C"/>
    <w:sectPr w:rsidR="00CF3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9A"/>
    <w:rsid w:val="0082439A"/>
    <w:rsid w:val="00CF3C5C"/>
    <w:rsid w:val="00D42AB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612DE-7831-4520-AA39-A39591C4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B6"/>
    <w:rPr>
      <w:rFonts w:ascii="Times New Roman" w:eastAsia="Times New Roman" w:hAnsi="Times New Roman" w:cs="Times New Roman"/>
      <w:b/>
      <w:bCs/>
      <w:kern w:val="36"/>
      <w:sz w:val="48"/>
      <w:szCs w:val="48"/>
      <w:lang w:eastAsia="ro-MD"/>
    </w:rPr>
  </w:style>
  <w:style w:type="paragraph" w:styleId="NormalWeb">
    <w:name w:val="Normal (Web)"/>
    <w:basedOn w:val="Normal"/>
    <w:uiPriority w:val="99"/>
    <w:semiHidden/>
    <w:unhideWhenUsed/>
    <w:rsid w:val="00D42AB6"/>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styleId="Strong">
    <w:name w:val="Strong"/>
    <w:basedOn w:val="DefaultParagraphFont"/>
    <w:uiPriority w:val="22"/>
    <w:qFormat/>
    <w:rsid w:val="00D42AB6"/>
    <w:rPr>
      <w:b/>
      <w:bCs/>
    </w:rPr>
  </w:style>
  <w:style w:type="character" w:styleId="Hyperlink">
    <w:name w:val="Hyperlink"/>
    <w:basedOn w:val="DefaultParagraphFont"/>
    <w:uiPriority w:val="99"/>
    <w:semiHidden/>
    <w:unhideWhenUsed/>
    <w:rsid w:val="00D42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rlament.md/ProcesulLegislativ/Proiectedeactelegislative/tabid/61/LegislativId/5267/language/ro-RO/Default.aspx" TargetMode="External"/><Relationship Id="rId4" Type="http://schemas.openxmlformats.org/officeDocument/2006/relationships/hyperlink" Target="http://parlament.md/ProcesulLegislativ/Proiectedeactelegislative/tabid/61/LegislativId/5066/language/ro-R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8981</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Realitatea</dc:creator>
  <cp:keywords/>
  <dc:description/>
  <cp:lastModifiedBy>Realitatea</cp:lastModifiedBy>
  <cp:revision>2</cp:revision>
  <dcterms:created xsi:type="dcterms:W3CDTF">2021-05-13T09:05:00Z</dcterms:created>
  <dcterms:modified xsi:type="dcterms:W3CDTF">2021-05-13T09:05:00Z</dcterms:modified>
</cp:coreProperties>
</file>