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6C6" w:rsidRDefault="007E06C6" w:rsidP="007E06C6">
      <w:pPr>
        <w:ind w:firstLine="708"/>
        <w:jc w:val="right"/>
        <w:rPr>
          <w:lang w:val="ro-MO"/>
        </w:rPr>
      </w:pPr>
      <w:r>
        <w:rPr>
          <w:lang w:val="ro-MO"/>
        </w:rPr>
        <w:t>ANEXA nr.1</w:t>
      </w:r>
    </w:p>
    <w:p w:rsidR="007E06C6" w:rsidRDefault="007E06C6" w:rsidP="007E06C6">
      <w:pPr>
        <w:ind w:firstLine="708"/>
        <w:jc w:val="right"/>
        <w:rPr>
          <w:u w:val="single"/>
          <w:lang w:val="ro-MO"/>
        </w:rPr>
      </w:pPr>
      <w:r>
        <w:rPr>
          <w:lang w:val="ro-MO"/>
        </w:rPr>
        <w:t>la Ordinul MSMPS nr. 683</w:t>
      </w:r>
    </w:p>
    <w:p w:rsidR="007E06C6" w:rsidRDefault="007E06C6" w:rsidP="007E06C6">
      <w:pPr>
        <w:ind w:firstLine="708"/>
        <w:jc w:val="right"/>
        <w:rPr>
          <w:b/>
          <w:sz w:val="18"/>
          <w:szCs w:val="18"/>
          <w:lang w:val="ro-MO"/>
        </w:rPr>
      </w:pPr>
      <w:r>
        <w:rPr>
          <w:lang w:val="ro-MO"/>
        </w:rPr>
        <w:t>din 20 iulie 2021</w:t>
      </w:r>
    </w:p>
    <w:p w:rsidR="007E06C6" w:rsidRDefault="007E06C6" w:rsidP="007E06C6">
      <w:pPr>
        <w:ind w:firstLine="708"/>
        <w:jc w:val="right"/>
        <w:rPr>
          <w:lang w:val="ro-MO"/>
        </w:rPr>
      </w:pPr>
    </w:p>
    <w:p w:rsidR="007E06C6" w:rsidRDefault="007E06C6" w:rsidP="007E06C6">
      <w:pPr>
        <w:ind w:firstLine="708"/>
        <w:jc w:val="right"/>
        <w:rPr>
          <w:lang w:val="ro-MO"/>
        </w:rPr>
      </w:pPr>
    </w:p>
    <w:p w:rsidR="007E06C6" w:rsidRDefault="007E06C6" w:rsidP="007E06C6">
      <w:pPr>
        <w:ind w:firstLine="708"/>
        <w:jc w:val="center"/>
        <w:rPr>
          <w:lang w:val="ro-MO"/>
        </w:rPr>
      </w:pPr>
    </w:p>
    <w:p w:rsidR="007E06C6" w:rsidRDefault="007E06C6" w:rsidP="007E06C6">
      <w:pPr>
        <w:ind w:firstLine="708"/>
        <w:jc w:val="right"/>
        <w:rPr>
          <w:lang w:val="ro-MO"/>
        </w:rPr>
      </w:pPr>
    </w:p>
    <w:p w:rsidR="007E06C6" w:rsidRDefault="007E06C6" w:rsidP="007E06C6">
      <w:pPr>
        <w:jc w:val="center"/>
        <w:rPr>
          <w:b/>
          <w:sz w:val="28"/>
          <w:szCs w:val="28"/>
          <w:lang w:val="ro-MO"/>
        </w:rPr>
      </w:pPr>
      <w:r>
        <w:rPr>
          <w:b/>
          <w:sz w:val="28"/>
          <w:szCs w:val="28"/>
          <w:lang w:val="ro-MO"/>
        </w:rPr>
        <w:t xml:space="preserve">REGULAMENTUL </w:t>
      </w:r>
    </w:p>
    <w:p w:rsidR="007E06C6" w:rsidRDefault="007E06C6" w:rsidP="007E06C6">
      <w:pPr>
        <w:jc w:val="center"/>
        <w:rPr>
          <w:b/>
          <w:sz w:val="28"/>
          <w:szCs w:val="28"/>
          <w:lang w:val="ro-MO"/>
        </w:rPr>
      </w:pPr>
      <w:r>
        <w:rPr>
          <w:b/>
          <w:sz w:val="28"/>
          <w:szCs w:val="28"/>
          <w:lang w:val="ro-MO"/>
        </w:rPr>
        <w:t>CONCURSULUI PREMIUL NAȚIONAL PENTRU VÂRSTNICI</w:t>
      </w:r>
    </w:p>
    <w:p w:rsidR="007E06C6" w:rsidRDefault="007E06C6" w:rsidP="007E06C6">
      <w:pPr>
        <w:jc w:val="center"/>
        <w:rPr>
          <w:b/>
          <w:sz w:val="28"/>
          <w:szCs w:val="28"/>
          <w:lang w:val="ro-MO"/>
        </w:rPr>
      </w:pPr>
      <w:r>
        <w:rPr>
          <w:b/>
          <w:sz w:val="28"/>
          <w:szCs w:val="28"/>
          <w:lang w:val="ro-MO"/>
        </w:rPr>
        <w:t>„PENTRU O VIAȚĂ ACTIVĂ LA ORICE VÂRSTĂ”, EDIŢIA 2021</w:t>
      </w:r>
    </w:p>
    <w:p w:rsidR="007E06C6" w:rsidRDefault="007E06C6" w:rsidP="007E06C6">
      <w:pPr>
        <w:jc w:val="center"/>
        <w:rPr>
          <w:b/>
          <w:sz w:val="28"/>
          <w:szCs w:val="28"/>
          <w:lang w:val="ro-MO"/>
        </w:rPr>
      </w:pPr>
      <w:r>
        <w:rPr>
          <w:b/>
          <w:sz w:val="28"/>
          <w:szCs w:val="28"/>
          <w:lang w:val="ro-MO"/>
        </w:rPr>
        <w:t xml:space="preserve"> </w:t>
      </w:r>
    </w:p>
    <w:p w:rsidR="007E06C6" w:rsidRDefault="007E06C6" w:rsidP="007E06C6">
      <w:pPr>
        <w:rPr>
          <w:b/>
          <w:sz w:val="28"/>
          <w:szCs w:val="28"/>
          <w:lang w:val="ro-MO"/>
        </w:rPr>
      </w:pPr>
      <w:r>
        <w:rPr>
          <w:b/>
          <w:sz w:val="28"/>
          <w:szCs w:val="28"/>
          <w:lang w:val="ro-MO"/>
        </w:rPr>
        <w:t>I. DISPOZIŢII GENERALE</w:t>
      </w:r>
    </w:p>
    <w:p w:rsidR="007E06C6" w:rsidRDefault="007E06C6" w:rsidP="007E06C6">
      <w:pPr>
        <w:jc w:val="both"/>
        <w:rPr>
          <w:sz w:val="28"/>
          <w:szCs w:val="28"/>
          <w:lang w:val="ro-MO"/>
        </w:rPr>
      </w:pPr>
    </w:p>
    <w:p w:rsidR="007E06C6" w:rsidRDefault="007E06C6" w:rsidP="007E06C6">
      <w:pPr>
        <w:jc w:val="both"/>
        <w:rPr>
          <w:sz w:val="28"/>
          <w:szCs w:val="28"/>
          <w:lang w:val="ro-MO"/>
        </w:rPr>
      </w:pPr>
      <w:r>
        <w:rPr>
          <w:b/>
          <w:sz w:val="28"/>
          <w:szCs w:val="28"/>
          <w:lang w:val="ro-MO"/>
        </w:rPr>
        <w:t xml:space="preserve">1. </w:t>
      </w:r>
      <w:r>
        <w:rPr>
          <w:sz w:val="28"/>
          <w:szCs w:val="28"/>
          <w:lang w:val="ro-MO"/>
        </w:rPr>
        <w:t xml:space="preserve">Concursul Premiul Național pentru vârstnici </w:t>
      </w:r>
      <w:r>
        <w:rPr>
          <w:b/>
          <w:i/>
          <w:sz w:val="28"/>
          <w:szCs w:val="28"/>
          <w:lang w:val="ro-MO"/>
        </w:rPr>
        <w:t xml:space="preserve">„Pentru o viață activă la orice vârstă”, </w:t>
      </w:r>
      <w:r>
        <w:rPr>
          <w:sz w:val="28"/>
          <w:szCs w:val="28"/>
          <w:lang w:val="ro-MO"/>
        </w:rPr>
        <w:t>ediţia 2021,</w:t>
      </w:r>
      <w:r>
        <w:rPr>
          <w:b/>
          <w:i/>
          <w:sz w:val="28"/>
          <w:szCs w:val="28"/>
          <w:lang w:val="ro-MO"/>
        </w:rPr>
        <w:t xml:space="preserve"> </w:t>
      </w:r>
      <w:r>
        <w:rPr>
          <w:sz w:val="28"/>
          <w:szCs w:val="28"/>
          <w:lang w:val="ro-MO"/>
        </w:rPr>
        <w:t xml:space="preserve">este instituit de către Ministerul Sănătății, Muncii și Protecției Sociale prin Ordinul nr. 683 din 20 iulie 2021 cu privire la organizarea şi desfăşurarea Concursului Premiul Național pentru vârstnici </w:t>
      </w:r>
      <w:r>
        <w:rPr>
          <w:b/>
          <w:i/>
          <w:sz w:val="28"/>
          <w:szCs w:val="28"/>
          <w:lang w:val="ro-MO"/>
        </w:rPr>
        <w:t>„Pentru o viață activă la orice vârstă”.</w:t>
      </w:r>
    </w:p>
    <w:p w:rsidR="007E06C6" w:rsidRDefault="007E06C6" w:rsidP="007E06C6">
      <w:pPr>
        <w:jc w:val="both"/>
        <w:rPr>
          <w:sz w:val="28"/>
          <w:szCs w:val="28"/>
          <w:lang w:val="ro-MO"/>
        </w:rPr>
      </w:pPr>
      <w:r>
        <w:rPr>
          <w:b/>
          <w:sz w:val="28"/>
          <w:szCs w:val="28"/>
          <w:lang w:val="ro-MO"/>
        </w:rPr>
        <w:t xml:space="preserve">2. </w:t>
      </w:r>
      <w:r>
        <w:rPr>
          <w:sz w:val="28"/>
          <w:szCs w:val="28"/>
          <w:lang w:val="ro-MO"/>
        </w:rPr>
        <w:t>Premiul se acordă cetăţenilor Republicii Moldova, cu vârsta de 60 ani și peste, doar o singură dată aceluiaşi pretendent.</w:t>
      </w:r>
    </w:p>
    <w:p w:rsidR="007E06C6" w:rsidRDefault="007E06C6" w:rsidP="007E06C6">
      <w:pPr>
        <w:jc w:val="both"/>
        <w:rPr>
          <w:sz w:val="28"/>
          <w:szCs w:val="28"/>
          <w:lang w:val="ro-MO"/>
        </w:rPr>
      </w:pPr>
      <w:r>
        <w:rPr>
          <w:b/>
          <w:sz w:val="28"/>
          <w:szCs w:val="28"/>
          <w:lang w:val="ro-MO"/>
        </w:rPr>
        <w:t>3.</w:t>
      </w:r>
      <w:r>
        <w:rPr>
          <w:i/>
          <w:sz w:val="28"/>
          <w:szCs w:val="28"/>
          <w:lang w:val="ro-MO"/>
        </w:rPr>
        <w:t xml:space="preserve"> </w:t>
      </w:r>
      <w:r>
        <w:rPr>
          <w:sz w:val="28"/>
          <w:szCs w:val="28"/>
          <w:lang w:val="ro-MO"/>
        </w:rPr>
        <w:t xml:space="preserve">Premiul Național pentru vârstnici se acordă cu prilejul </w:t>
      </w:r>
      <w:r>
        <w:rPr>
          <w:b/>
          <w:sz w:val="28"/>
          <w:szCs w:val="28"/>
          <w:lang w:val="ro-MO"/>
        </w:rPr>
        <w:t xml:space="preserve">Zilei internaționale a persoanelor vârstnice, </w:t>
      </w:r>
      <w:r>
        <w:rPr>
          <w:sz w:val="28"/>
          <w:szCs w:val="28"/>
          <w:lang w:val="ro-MO"/>
        </w:rPr>
        <w:t xml:space="preserve">pentru realizări şi performanţe deosebite în domeniul cultural-artistic, tehnico-ştiinţific, civic, medicină, </w:t>
      </w:r>
      <w:proofErr w:type="spellStart"/>
      <w:r>
        <w:rPr>
          <w:sz w:val="28"/>
          <w:szCs w:val="28"/>
          <w:lang w:val="ro-MO"/>
        </w:rPr>
        <w:t>antreprenoriat</w:t>
      </w:r>
      <w:proofErr w:type="spellEnd"/>
      <w:r>
        <w:rPr>
          <w:sz w:val="28"/>
          <w:szCs w:val="28"/>
          <w:lang w:val="ro-MO"/>
        </w:rPr>
        <w:t xml:space="preserve">, agricultură, educație, sport, tehnologii informaționale, etc. </w:t>
      </w:r>
    </w:p>
    <w:p w:rsidR="007E06C6" w:rsidRDefault="007E06C6" w:rsidP="007E06C6">
      <w:pPr>
        <w:jc w:val="both"/>
        <w:rPr>
          <w:sz w:val="28"/>
          <w:szCs w:val="28"/>
          <w:lang w:val="ro-MO"/>
        </w:rPr>
      </w:pPr>
      <w:r>
        <w:rPr>
          <w:b/>
          <w:sz w:val="28"/>
          <w:szCs w:val="28"/>
          <w:lang w:val="ro-MO"/>
        </w:rPr>
        <w:t>4.</w:t>
      </w:r>
      <w:r>
        <w:rPr>
          <w:sz w:val="28"/>
          <w:szCs w:val="28"/>
          <w:lang w:val="ro-MO"/>
        </w:rPr>
        <w:t xml:space="preserve"> Premiul se acordă prin concurs, dosarele înaintate fiind analizate de către Comisia de examinare.</w:t>
      </w:r>
    </w:p>
    <w:p w:rsidR="007E06C6" w:rsidRDefault="007E06C6" w:rsidP="007E06C6">
      <w:pPr>
        <w:jc w:val="both"/>
        <w:rPr>
          <w:sz w:val="28"/>
          <w:szCs w:val="28"/>
          <w:lang w:val="ro-MO"/>
        </w:rPr>
      </w:pPr>
      <w:r>
        <w:rPr>
          <w:b/>
          <w:sz w:val="28"/>
          <w:szCs w:val="28"/>
          <w:lang w:val="ro-MO"/>
        </w:rPr>
        <w:t>5.</w:t>
      </w:r>
      <w:r>
        <w:rPr>
          <w:sz w:val="28"/>
          <w:szCs w:val="28"/>
          <w:lang w:val="ro-MO"/>
        </w:rPr>
        <w:t xml:space="preserve"> Componenţa nominală a Comisiei de examinare este stabilită prin ordinul ministrului. Comisia se formează dintr-un număr impar, dar nu mai mult de 7 persoane.</w:t>
      </w:r>
    </w:p>
    <w:p w:rsidR="007E06C6" w:rsidRDefault="007E06C6" w:rsidP="007E06C6">
      <w:pPr>
        <w:jc w:val="both"/>
        <w:rPr>
          <w:sz w:val="28"/>
          <w:szCs w:val="28"/>
          <w:lang w:val="ro-MO"/>
        </w:rPr>
      </w:pPr>
    </w:p>
    <w:p w:rsidR="007E06C6" w:rsidRDefault="007E06C6" w:rsidP="007E06C6">
      <w:pPr>
        <w:jc w:val="both"/>
        <w:rPr>
          <w:b/>
          <w:sz w:val="28"/>
          <w:szCs w:val="28"/>
          <w:lang w:val="ro-MO"/>
        </w:rPr>
      </w:pPr>
      <w:r>
        <w:rPr>
          <w:b/>
          <w:sz w:val="28"/>
          <w:szCs w:val="28"/>
          <w:lang w:val="ro-MO"/>
        </w:rPr>
        <w:t>II. CONDIŢIILE DE PARTICIPARE LA CONCURS</w:t>
      </w:r>
    </w:p>
    <w:p w:rsidR="007E06C6" w:rsidRDefault="007E06C6" w:rsidP="007E06C6">
      <w:pPr>
        <w:jc w:val="both"/>
        <w:rPr>
          <w:b/>
          <w:sz w:val="28"/>
          <w:szCs w:val="28"/>
          <w:lang w:val="ro-MO"/>
        </w:rPr>
      </w:pPr>
    </w:p>
    <w:p w:rsidR="007E06C6" w:rsidRDefault="007E06C6" w:rsidP="007E06C6">
      <w:pPr>
        <w:jc w:val="both"/>
        <w:rPr>
          <w:sz w:val="28"/>
          <w:szCs w:val="28"/>
          <w:lang w:val="ro-MO"/>
        </w:rPr>
      </w:pPr>
      <w:r>
        <w:rPr>
          <w:b/>
          <w:sz w:val="28"/>
          <w:szCs w:val="28"/>
          <w:lang w:val="ro-MO"/>
        </w:rPr>
        <w:t>6.</w:t>
      </w:r>
      <w:r>
        <w:rPr>
          <w:sz w:val="28"/>
          <w:szCs w:val="28"/>
          <w:lang w:val="ro-MO"/>
        </w:rPr>
        <w:t xml:space="preserve"> Anunțul privind lansarea concursului, criteriile specifice privind participarea la concurs, precum și rezultatele concursului se publică pe pagina web a Ministerului Sănătății, Muncii și Protecției Sociale și în mijloacele de informare în masă.</w:t>
      </w:r>
    </w:p>
    <w:p w:rsidR="007E06C6" w:rsidRDefault="007E06C6" w:rsidP="007E06C6">
      <w:pPr>
        <w:jc w:val="both"/>
        <w:rPr>
          <w:sz w:val="28"/>
          <w:szCs w:val="28"/>
          <w:lang w:val="ro-MO"/>
        </w:rPr>
      </w:pPr>
      <w:r>
        <w:rPr>
          <w:b/>
          <w:sz w:val="28"/>
          <w:szCs w:val="28"/>
          <w:lang w:val="ro-MO"/>
        </w:rPr>
        <w:t>7.</w:t>
      </w:r>
      <w:r>
        <w:rPr>
          <w:sz w:val="28"/>
          <w:szCs w:val="28"/>
          <w:lang w:val="ro-MO"/>
        </w:rPr>
        <w:t xml:space="preserve"> Dosarele pentru participare la concurs sunt prezentate Comisiei de examinare până la data de </w:t>
      </w:r>
      <w:r>
        <w:rPr>
          <w:b/>
          <w:sz w:val="28"/>
          <w:szCs w:val="28"/>
          <w:lang w:val="ro-MO"/>
        </w:rPr>
        <w:t xml:space="preserve">10.09.2021 </w:t>
      </w:r>
      <w:r>
        <w:rPr>
          <w:sz w:val="28"/>
          <w:szCs w:val="28"/>
          <w:lang w:val="ro-MO"/>
        </w:rPr>
        <w:t>inclusiv.</w:t>
      </w:r>
    </w:p>
    <w:p w:rsidR="007E06C6" w:rsidRDefault="007E06C6" w:rsidP="007E06C6">
      <w:pPr>
        <w:jc w:val="both"/>
        <w:rPr>
          <w:sz w:val="28"/>
          <w:szCs w:val="28"/>
          <w:lang w:val="ro-MO"/>
        </w:rPr>
      </w:pPr>
      <w:r>
        <w:rPr>
          <w:b/>
          <w:sz w:val="28"/>
          <w:szCs w:val="28"/>
          <w:lang w:val="ro-MO"/>
        </w:rPr>
        <w:t xml:space="preserve">8. </w:t>
      </w:r>
      <w:r>
        <w:rPr>
          <w:sz w:val="28"/>
          <w:szCs w:val="28"/>
          <w:lang w:val="ro-MO"/>
        </w:rPr>
        <w:t>Instituţiile/organizaţiile şi persoanele fizice au dreptul de a înainta dosare ale candidaţilor la Premiul Național pentru vârstnici.</w:t>
      </w:r>
    </w:p>
    <w:p w:rsidR="007E06C6" w:rsidRDefault="007E06C6" w:rsidP="007E06C6">
      <w:pPr>
        <w:jc w:val="both"/>
        <w:rPr>
          <w:sz w:val="28"/>
          <w:szCs w:val="28"/>
          <w:lang w:val="ro-MO"/>
        </w:rPr>
      </w:pPr>
      <w:r>
        <w:rPr>
          <w:b/>
          <w:sz w:val="28"/>
          <w:szCs w:val="28"/>
          <w:lang w:val="ro-MO"/>
        </w:rPr>
        <w:t>9.</w:t>
      </w:r>
      <w:r>
        <w:rPr>
          <w:sz w:val="28"/>
          <w:szCs w:val="28"/>
          <w:lang w:val="ro-MO"/>
        </w:rPr>
        <w:t xml:space="preserve"> Înregistrarea şi participarea la concurs are loc în baza dosarului depus la Ministerul Sănătății, Muncii și Protecției Sociale, str. V. Alecsandri, 2, mun. Chișinău sau în format electronic la adresa de e-mail </w:t>
      </w:r>
      <w:r w:rsidR="00D1049C">
        <w:fldChar w:fldCharType="begin"/>
      </w:r>
      <w:r w:rsidR="00D1049C" w:rsidRPr="00924139">
        <w:rPr>
          <w:lang w:val="ro-MO"/>
        </w:rPr>
        <w:instrText>HYPERLINK "mailto:olga.gotmaniuc@msmps.gov.md"</w:instrText>
      </w:r>
      <w:r w:rsidR="00D1049C">
        <w:fldChar w:fldCharType="separate"/>
      </w:r>
      <w:r>
        <w:rPr>
          <w:rStyle w:val="Hyperlink"/>
          <w:sz w:val="28"/>
          <w:szCs w:val="28"/>
          <w:lang w:val="ro-MO"/>
        </w:rPr>
        <w:t>olga.gotmaniuc@msmps.gov.md</w:t>
      </w:r>
      <w:r w:rsidR="00D1049C">
        <w:fldChar w:fldCharType="end"/>
      </w:r>
      <w:r>
        <w:rPr>
          <w:sz w:val="28"/>
          <w:szCs w:val="28"/>
          <w:lang w:val="ro-MO"/>
        </w:rPr>
        <w:t xml:space="preserve"> </w:t>
      </w:r>
    </w:p>
    <w:p w:rsidR="007E06C6" w:rsidRDefault="007E06C6" w:rsidP="007E06C6">
      <w:pPr>
        <w:jc w:val="both"/>
        <w:rPr>
          <w:sz w:val="28"/>
          <w:szCs w:val="28"/>
          <w:lang w:val="ro-MO"/>
        </w:rPr>
      </w:pPr>
      <w:r>
        <w:rPr>
          <w:b/>
          <w:sz w:val="28"/>
          <w:szCs w:val="28"/>
          <w:lang w:val="ro-MO"/>
        </w:rPr>
        <w:t>10.</w:t>
      </w:r>
      <w:r>
        <w:rPr>
          <w:sz w:val="28"/>
          <w:szCs w:val="28"/>
          <w:lang w:val="ro-MO"/>
        </w:rPr>
        <w:t xml:space="preserve"> Pe coperta dosarului înaintat la concurs se indică:</w:t>
      </w:r>
    </w:p>
    <w:p w:rsidR="007E06C6" w:rsidRDefault="007E06C6" w:rsidP="007E06C6">
      <w:pPr>
        <w:jc w:val="both"/>
        <w:rPr>
          <w:sz w:val="28"/>
          <w:szCs w:val="28"/>
          <w:lang w:val="ro-MO"/>
        </w:rPr>
      </w:pPr>
      <w:r>
        <w:rPr>
          <w:sz w:val="28"/>
          <w:szCs w:val="28"/>
          <w:lang w:val="ro-MO"/>
        </w:rPr>
        <w:lastRenderedPageBreak/>
        <w:t>1) titlul dosarului;</w:t>
      </w:r>
    </w:p>
    <w:p w:rsidR="007E06C6" w:rsidRDefault="007E06C6" w:rsidP="007E06C6">
      <w:pPr>
        <w:jc w:val="both"/>
        <w:rPr>
          <w:sz w:val="28"/>
          <w:szCs w:val="28"/>
          <w:lang w:val="ro-MO"/>
        </w:rPr>
      </w:pPr>
      <w:r>
        <w:rPr>
          <w:sz w:val="28"/>
          <w:szCs w:val="28"/>
          <w:lang w:val="ro-MO"/>
        </w:rPr>
        <w:t>2) numele, prenumele candidatului/ei sau candidaților;</w:t>
      </w:r>
    </w:p>
    <w:p w:rsidR="007E06C6" w:rsidRDefault="007E06C6" w:rsidP="007E06C6">
      <w:pPr>
        <w:jc w:val="both"/>
        <w:rPr>
          <w:sz w:val="28"/>
          <w:szCs w:val="28"/>
          <w:lang w:val="ro-MO"/>
        </w:rPr>
      </w:pPr>
      <w:r>
        <w:rPr>
          <w:sz w:val="28"/>
          <w:szCs w:val="28"/>
          <w:lang w:val="ro-MO"/>
        </w:rPr>
        <w:t>3) denumirea completă a instituţiei/persoanei care înaintează dosarul la concurs confirmată prin semnătură (ştampilă, după caz).</w:t>
      </w:r>
    </w:p>
    <w:p w:rsidR="007E06C6" w:rsidRDefault="007E06C6" w:rsidP="007E06C6">
      <w:pPr>
        <w:jc w:val="both"/>
        <w:rPr>
          <w:sz w:val="28"/>
          <w:szCs w:val="28"/>
          <w:lang w:val="ro-MO"/>
        </w:rPr>
      </w:pPr>
      <w:r>
        <w:rPr>
          <w:b/>
          <w:sz w:val="28"/>
          <w:szCs w:val="28"/>
          <w:lang w:val="ro-MO"/>
        </w:rPr>
        <w:t>11.</w:t>
      </w:r>
      <w:r>
        <w:rPr>
          <w:sz w:val="28"/>
          <w:szCs w:val="28"/>
          <w:lang w:val="ro-MO"/>
        </w:rPr>
        <w:t xml:space="preserve"> Fiecare dosar conține următoarele documente:</w:t>
      </w:r>
    </w:p>
    <w:p w:rsidR="007E06C6" w:rsidRDefault="007E06C6" w:rsidP="007E06C6">
      <w:pPr>
        <w:jc w:val="both"/>
        <w:rPr>
          <w:sz w:val="28"/>
          <w:szCs w:val="28"/>
          <w:lang w:val="ro-MO"/>
        </w:rPr>
      </w:pPr>
      <w:r>
        <w:rPr>
          <w:sz w:val="28"/>
          <w:szCs w:val="28"/>
          <w:lang w:val="ro-MO"/>
        </w:rPr>
        <w:t>1) materialele înaintate la concurs, care atestă performanțele candidatului/ei sau candidaților;</w:t>
      </w:r>
    </w:p>
    <w:p w:rsidR="007E06C6" w:rsidRDefault="007E06C6" w:rsidP="007E06C6">
      <w:pPr>
        <w:jc w:val="both"/>
        <w:rPr>
          <w:sz w:val="28"/>
          <w:szCs w:val="28"/>
          <w:lang w:val="ro-MO"/>
        </w:rPr>
      </w:pPr>
      <w:r>
        <w:rPr>
          <w:sz w:val="28"/>
          <w:szCs w:val="28"/>
          <w:lang w:val="ro-MO"/>
        </w:rPr>
        <w:t>2) curriculum vitae a candidatului/ei sau candidaților;</w:t>
      </w:r>
    </w:p>
    <w:p w:rsidR="007E06C6" w:rsidRDefault="007E06C6" w:rsidP="007E06C6">
      <w:pPr>
        <w:jc w:val="both"/>
        <w:rPr>
          <w:sz w:val="28"/>
          <w:szCs w:val="28"/>
          <w:lang w:val="ro-MO"/>
        </w:rPr>
      </w:pPr>
      <w:r>
        <w:rPr>
          <w:sz w:val="28"/>
          <w:szCs w:val="28"/>
          <w:lang w:val="ro-MO"/>
        </w:rPr>
        <w:t>3) copia buletinului de identitate a candidatului/ei sau candidaților;</w:t>
      </w:r>
    </w:p>
    <w:p w:rsidR="007E06C6" w:rsidRDefault="007E06C6" w:rsidP="007E06C6">
      <w:pPr>
        <w:jc w:val="both"/>
        <w:rPr>
          <w:sz w:val="28"/>
          <w:szCs w:val="28"/>
          <w:lang w:val="ro-MO"/>
        </w:rPr>
      </w:pPr>
      <w:r>
        <w:rPr>
          <w:sz w:val="28"/>
          <w:szCs w:val="28"/>
          <w:lang w:val="ro-MO"/>
        </w:rPr>
        <w:t>4) scrisoare de recomandare.</w:t>
      </w:r>
    </w:p>
    <w:p w:rsidR="007E06C6" w:rsidRDefault="007E06C6" w:rsidP="007E06C6">
      <w:pPr>
        <w:jc w:val="both"/>
        <w:rPr>
          <w:b/>
          <w:sz w:val="28"/>
          <w:szCs w:val="28"/>
          <w:lang w:val="ro-MO"/>
        </w:rPr>
      </w:pPr>
    </w:p>
    <w:p w:rsidR="007E06C6" w:rsidRDefault="007E06C6" w:rsidP="007E06C6">
      <w:pPr>
        <w:jc w:val="both"/>
        <w:rPr>
          <w:b/>
          <w:sz w:val="28"/>
          <w:szCs w:val="28"/>
          <w:lang w:val="ro-MO"/>
        </w:rPr>
      </w:pPr>
      <w:r>
        <w:rPr>
          <w:b/>
          <w:sz w:val="28"/>
          <w:szCs w:val="28"/>
          <w:lang w:val="ro-MO"/>
        </w:rPr>
        <w:t>III. MODALITATEA DE EXAMINARE A DOSARELOR</w:t>
      </w:r>
    </w:p>
    <w:p w:rsidR="007E06C6" w:rsidRDefault="007E06C6" w:rsidP="007E06C6">
      <w:pPr>
        <w:jc w:val="both"/>
        <w:rPr>
          <w:b/>
          <w:sz w:val="28"/>
          <w:szCs w:val="28"/>
          <w:lang w:val="ro-MO"/>
        </w:rPr>
      </w:pPr>
    </w:p>
    <w:p w:rsidR="007E06C6" w:rsidRDefault="007E06C6" w:rsidP="007E06C6">
      <w:pPr>
        <w:jc w:val="both"/>
        <w:rPr>
          <w:sz w:val="28"/>
          <w:szCs w:val="28"/>
          <w:lang w:val="ro-MO"/>
        </w:rPr>
      </w:pPr>
      <w:r>
        <w:rPr>
          <w:b/>
          <w:sz w:val="28"/>
          <w:szCs w:val="28"/>
          <w:lang w:val="ro-MO"/>
        </w:rPr>
        <w:t>12</w:t>
      </w:r>
      <w:r>
        <w:rPr>
          <w:sz w:val="28"/>
          <w:szCs w:val="28"/>
          <w:lang w:val="ro-MO"/>
        </w:rPr>
        <w:t>. Dosarele prezentate sunt analizate și evaluate de către membrii Comisiei de examinare.</w:t>
      </w:r>
    </w:p>
    <w:p w:rsidR="007E06C6" w:rsidRDefault="007E06C6" w:rsidP="007E06C6">
      <w:pPr>
        <w:jc w:val="both"/>
        <w:rPr>
          <w:sz w:val="28"/>
          <w:szCs w:val="28"/>
          <w:lang w:val="ro-MO"/>
        </w:rPr>
      </w:pPr>
      <w:r>
        <w:rPr>
          <w:b/>
          <w:sz w:val="28"/>
          <w:szCs w:val="28"/>
          <w:lang w:val="ro-MO"/>
        </w:rPr>
        <w:t>13.</w:t>
      </w:r>
      <w:r>
        <w:rPr>
          <w:sz w:val="28"/>
          <w:szCs w:val="28"/>
          <w:lang w:val="ro-MO"/>
        </w:rPr>
        <w:t xml:space="preserve"> Fiecare membru al Comisiei de examinare va semna o declaraţie de imparţialitate, potrivit modelului din Anexa nr.1.</w:t>
      </w:r>
    </w:p>
    <w:p w:rsidR="007E06C6" w:rsidRDefault="007E06C6" w:rsidP="007E06C6">
      <w:pPr>
        <w:jc w:val="both"/>
        <w:rPr>
          <w:sz w:val="28"/>
          <w:szCs w:val="28"/>
          <w:lang w:val="ro-MO"/>
        </w:rPr>
      </w:pPr>
      <w:r>
        <w:rPr>
          <w:b/>
          <w:sz w:val="28"/>
          <w:szCs w:val="28"/>
          <w:lang w:val="ro-MO"/>
        </w:rPr>
        <w:t>14</w:t>
      </w:r>
      <w:r>
        <w:rPr>
          <w:sz w:val="28"/>
          <w:szCs w:val="28"/>
          <w:lang w:val="ro-MO"/>
        </w:rPr>
        <w:t>. Comisia de examinare stabilește mărimea premiilor în limita resurselor financiare alocate, numărul dosarelor depuse la concurs, precum și performanțele candidatului/ei sau candidaților;</w:t>
      </w:r>
    </w:p>
    <w:p w:rsidR="007E06C6" w:rsidRDefault="007E06C6" w:rsidP="007E06C6">
      <w:pPr>
        <w:jc w:val="both"/>
        <w:rPr>
          <w:sz w:val="28"/>
          <w:szCs w:val="28"/>
          <w:lang w:val="ro-MO"/>
        </w:rPr>
      </w:pPr>
      <w:r>
        <w:rPr>
          <w:b/>
          <w:sz w:val="28"/>
          <w:szCs w:val="28"/>
          <w:lang w:val="ro-MO"/>
        </w:rPr>
        <w:t>15</w:t>
      </w:r>
      <w:r>
        <w:rPr>
          <w:sz w:val="28"/>
          <w:szCs w:val="28"/>
          <w:lang w:val="ro-MO"/>
        </w:rPr>
        <w:t>. Deciziile Comisiei de examinare se adoptă cu majoritatea simplă a membrilor desemnați.</w:t>
      </w:r>
    </w:p>
    <w:p w:rsidR="007E06C6" w:rsidRDefault="007E06C6" w:rsidP="007E06C6">
      <w:pPr>
        <w:jc w:val="both"/>
        <w:rPr>
          <w:sz w:val="28"/>
          <w:szCs w:val="28"/>
          <w:lang w:val="ro-MO"/>
        </w:rPr>
      </w:pPr>
      <w:r>
        <w:rPr>
          <w:b/>
          <w:sz w:val="28"/>
          <w:szCs w:val="28"/>
          <w:lang w:val="ro-MO"/>
        </w:rPr>
        <w:t>16.</w:t>
      </w:r>
      <w:r>
        <w:rPr>
          <w:sz w:val="28"/>
          <w:szCs w:val="28"/>
          <w:lang w:val="ro-MO"/>
        </w:rPr>
        <w:t xml:space="preserve"> Procesul-verbal al ședinței Comisiei de examinare se semnează de către toți membrii Comisiei de examinare și conține o motivare succintă a deciziilor Comisie</w:t>
      </w:r>
      <w:r w:rsidR="00924139">
        <w:rPr>
          <w:sz w:val="28"/>
          <w:szCs w:val="28"/>
          <w:lang w:val="ro-MO"/>
        </w:rPr>
        <w:t>i</w:t>
      </w:r>
      <w:r>
        <w:rPr>
          <w:sz w:val="28"/>
          <w:szCs w:val="28"/>
          <w:lang w:val="ro-MO"/>
        </w:rPr>
        <w:t xml:space="preserve"> de examinare. </w:t>
      </w:r>
    </w:p>
    <w:p w:rsidR="007E06C6" w:rsidRDefault="007E06C6" w:rsidP="007E06C6">
      <w:pPr>
        <w:jc w:val="both"/>
        <w:rPr>
          <w:sz w:val="28"/>
          <w:szCs w:val="28"/>
          <w:lang w:val="ro-MO"/>
        </w:rPr>
      </w:pPr>
    </w:p>
    <w:p w:rsidR="007E06C6" w:rsidRDefault="007E06C6" w:rsidP="007E06C6">
      <w:pPr>
        <w:rPr>
          <w:b/>
          <w:sz w:val="28"/>
          <w:szCs w:val="28"/>
          <w:lang w:val="ro-MO"/>
        </w:rPr>
      </w:pPr>
      <w:r>
        <w:rPr>
          <w:b/>
          <w:sz w:val="28"/>
          <w:szCs w:val="28"/>
          <w:lang w:val="ro-MO"/>
        </w:rPr>
        <w:t>IV. DECERNAREA PREMIULUI PENTRU VÂRSTNICI</w:t>
      </w:r>
    </w:p>
    <w:p w:rsidR="007E06C6" w:rsidRDefault="007E06C6" w:rsidP="007E06C6">
      <w:pPr>
        <w:jc w:val="both"/>
        <w:rPr>
          <w:b/>
          <w:sz w:val="28"/>
          <w:szCs w:val="28"/>
          <w:lang w:val="ro-MO"/>
        </w:rPr>
      </w:pPr>
    </w:p>
    <w:p w:rsidR="007E06C6" w:rsidRDefault="007E06C6" w:rsidP="007E06C6">
      <w:pPr>
        <w:jc w:val="both"/>
        <w:rPr>
          <w:sz w:val="28"/>
          <w:szCs w:val="28"/>
          <w:lang w:val="ro-MO"/>
        </w:rPr>
      </w:pPr>
      <w:r>
        <w:rPr>
          <w:b/>
          <w:sz w:val="28"/>
          <w:szCs w:val="28"/>
          <w:lang w:val="ro-MO"/>
        </w:rPr>
        <w:t>17.</w:t>
      </w:r>
      <w:r>
        <w:rPr>
          <w:sz w:val="28"/>
          <w:szCs w:val="28"/>
          <w:lang w:val="ro-MO"/>
        </w:rPr>
        <w:t xml:space="preserve"> Comisia de examinare examinează dosarele participante la concurs şi nominalizează premianţii până la data de </w:t>
      </w:r>
      <w:r>
        <w:rPr>
          <w:b/>
          <w:sz w:val="28"/>
          <w:szCs w:val="28"/>
          <w:lang w:val="ro-MO"/>
        </w:rPr>
        <w:t>16.09.2021</w:t>
      </w:r>
      <w:r>
        <w:rPr>
          <w:sz w:val="28"/>
          <w:szCs w:val="28"/>
          <w:lang w:val="ro-MO"/>
        </w:rPr>
        <w:t>.</w:t>
      </w:r>
    </w:p>
    <w:p w:rsidR="007E06C6" w:rsidRDefault="007E06C6" w:rsidP="007E06C6">
      <w:pPr>
        <w:jc w:val="both"/>
        <w:rPr>
          <w:sz w:val="28"/>
          <w:szCs w:val="28"/>
          <w:lang w:val="ro-MO"/>
        </w:rPr>
      </w:pPr>
      <w:r>
        <w:rPr>
          <w:b/>
          <w:sz w:val="28"/>
          <w:szCs w:val="28"/>
          <w:lang w:val="ro-MO"/>
        </w:rPr>
        <w:t>18</w:t>
      </w:r>
      <w:r>
        <w:rPr>
          <w:sz w:val="28"/>
          <w:szCs w:val="28"/>
          <w:lang w:val="ro-MO"/>
        </w:rPr>
        <w:t xml:space="preserve">. În termen de 10 zile calendaristice de la data desemnării câştigătorilor, rezultatele se publică pe site-ul Ministerului Sănătății, Muncii și Protecției Sociale şi pe pagina Web </w:t>
      </w:r>
      <w:proofErr w:type="spellStart"/>
      <w:r>
        <w:rPr>
          <w:sz w:val="28"/>
          <w:szCs w:val="28"/>
          <w:lang w:val="ro-MO"/>
        </w:rPr>
        <w:t>demografie.md</w:t>
      </w:r>
      <w:proofErr w:type="spellEnd"/>
      <w:r>
        <w:rPr>
          <w:sz w:val="28"/>
          <w:szCs w:val="28"/>
          <w:lang w:val="ro-MO"/>
        </w:rPr>
        <w:t>.</w:t>
      </w:r>
    </w:p>
    <w:p w:rsidR="007E06C6" w:rsidRDefault="007E06C6" w:rsidP="007E06C6">
      <w:pPr>
        <w:jc w:val="both"/>
        <w:rPr>
          <w:sz w:val="28"/>
          <w:szCs w:val="28"/>
          <w:lang w:val="ro-MO"/>
        </w:rPr>
      </w:pPr>
      <w:r>
        <w:rPr>
          <w:b/>
          <w:sz w:val="28"/>
          <w:szCs w:val="28"/>
          <w:lang w:val="ro-MO"/>
        </w:rPr>
        <w:t>19</w:t>
      </w:r>
      <w:r>
        <w:rPr>
          <w:sz w:val="28"/>
          <w:szCs w:val="28"/>
          <w:lang w:val="ro-MO"/>
        </w:rPr>
        <w:t>. Învingătorilor la concurs li se înmânează Diploma de confirmare a titlului de Laureat al Premiului pentru vârstnici şi un premiu bănesc.</w:t>
      </w:r>
    </w:p>
    <w:p w:rsidR="007E06C6" w:rsidRDefault="007E06C6" w:rsidP="007E06C6">
      <w:pPr>
        <w:jc w:val="both"/>
        <w:rPr>
          <w:sz w:val="28"/>
          <w:szCs w:val="28"/>
          <w:lang w:val="ro-MO"/>
        </w:rPr>
      </w:pPr>
    </w:p>
    <w:p w:rsidR="007E06C6" w:rsidRDefault="007E06C6" w:rsidP="007E06C6">
      <w:pPr>
        <w:jc w:val="both"/>
        <w:rPr>
          <w:sz w:val="28"/>
          <w:szCs w:val="28"/>
          <w:lang w:val="ro-MO"/>
        </w:rPr>
      </w:pPr>
    </w:p>
    <w:p w:rsidR="007E06C6" w:rsidRDefault="007E06C6" w:rsidP="007E06C6">
      <w:pPr>
        <w:jc w:val="both"/>
        <w:rPr>
          <w:sz w:val="28"/>
          <w:szCs w:val="28"/>
          <w:lang w:val="ro-MO"/>
        </w:rPr>
      </w:pPr>
    </w:p>
    <w:p w:rsidR="007E06C6" w:rsidRDefault="007E06C6" w:rsidP="007E06C6">
      <w:pPr>
        <w:jc w:val="both"/>
        <w:rPr>
          <w:sz w:val="28"/>
          <w:szCs w:val="28"/>
          <w:lang w:val="ro-MO"/>
        </w:rPr>
      </w:pPr>
    </w:p>
    <w:p w:rsidR="007E06C6" w:rsidRDefault="007E06C6" w:rsidP="007E06C6">
      <w:pPr>
        <w:jc w:val="both"/>
        <w:rPr>
          <w:sz w:val="28"/>
          <w:szCs w:val="28"/>
          <w:lang w:val="ro-MO"/>
        </w:rPr>
      </w:pPr>
    </w:p>
    <w:p w:rsidR="003B0A0B" w:rsidRPr="007E06C6" w:rsidRDefault="003B0A0B">
      <w:pPr>
        <w:rPr>
          <w:lang w:val="ro-MO"/>
        </w:rPr>
      </w:pPr>
    </w:p>
    <w:sectPr w:rsidR="003B0A0B" w:rsidRPr="007E06C6" w:rsidSect="003B0A0B">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7E06C6"/>
    <w:rsid w:val="003B0A0B"/>
    <w:rsid w:val="007E06C6"/>
    <w:rsid w:val="00924139"/>
    <w:rsid w:val="00D104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6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06C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930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574</Words>
  <Characters>3274</Characters>
  <Application>Microsoft Office Word</Application>
  <DocSecurity>0</DocSecurity>
  <Lines>27</Lines>
  <Paragraphs>7</Paragraphs>
  <ScaleCrop>false</ScaleCrop>
  <Company>MMPSF</Company>
  <LinksUpToDate>false</LinksUpToDate>
  <CharactersWithSpaces>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2021-07-20T11:04:00Z</dcterms:created>
  <dcterms:modified xsi:type="dcterms:W3CDTF">2021-07-20T11:18:00Z</dcterms:modified>
</cp:coreProperties>
</file>